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spacing w:after="100" w:line="276"/>
      </w:pPr>
      <w:r>
        <w:rPr>
          <w:b/>
          <w:bCs/>
          <w:color w:val="000000"/>
          <w:sz w:val="18"/>
          <w:szCs w:val="18"/>
        </w:rPr>
        <w:t xml:space="preserve">PROJECT REPORT</w:t>
      </w:r>
    </w:p>
    <w:p>
      <w:pPr>
        <w:pStyle w:val="Title"/>
        <w:keepNext/>
      </w:pPr>
      <w:r>
        <w:t xml:space="preserve">Cedar Creek Utility Improvements</w:t>
      </w:r>
    </w:p>
    <w:p>
      <w:pPr>
        <w:keepNext/>
        <w:keepLines/>
        <w:spacing w:after="100" w:line="276"/>
      </w:pPr>
      <w:r>
        <w:rPr>
          <w:color w:val="586A73"/>
          <w:sz w:val="19"/>
          <w:szCs w:val="19"/>
        </w:rPr>
        <w:t xml:space="preserve">CC-026 | Cedar Creek Utilities | 2026-10-08</w:t>
      </w:r>
    </w:p>
    <w:p>
      <w:pPr>
        <w:keepLines/>
        <w:spacing w:after="100" w:line="276"/>
      </w:pPr>
      <w:r>
        <w:rPr>
          <w:b/>
          <w:bCs/>
          <w:color w:val="245B49"/>
          <w:sz w:val="18"/>
          <w:szCs w:val="18"/>
        </w:rPr>
        <w:t xml:space="preserve">DEMONSTRATION | DRAFT FOR REVIEW</w:t>
      </w:r>
    </w:p>
    <w:p>
      <w:pPr>
        <w:keepLines/>
        <w:spacing w:after="100" w:line="276"/>
      </w:pPr>
      <w:r>
        <w:t xml:space="preserve">This report brings together the recorded work, field observations and outstanding actions for Cedar Creek Utility Improvements. It explains the current position and the evidence behind it, with supporting registers and source references for review.</w:t>
      </w:r>
    </w:p>
    <w:p>
      <w:pPr>
        <w:keepNext/>
        <w:spacing w:after="220" w:before="400"/>
        <w:rPr>
          <w:b/>
          <w:bCs/>
          <w:color w:val="000000"/>
          <w:sz w:val="30"/>
          <w:szCs w:val="30"/>
        </w:rPr>
      </w:pPr>
      <w:r>
        <w:t xml:space="preserve">Contents</w:t>
      </w:r>
    </w:p>
    <w:p>
      <w:pPr>
        <w:tabs>
          <w:tab w:val="right" w:pos="10080" w:leader="dot"/>
        </w:tabs>
        <w:spacing w:after="190" w:line="276"/>
      </w:pPr>
      <w:hyperlink w:history="1" w:anchor="chapter_0">
        <w:r>
          <w:rPr>
            <w:color w:val="20343E"/>
          </w:rPr>
          <w:t xml:space="preserve">01  Executive summary</w:t>
        </w:r>
      </w:hyperlink>
      <w:r>
        <w:t xml:space="preserve">	</w:t>
      </w:r>
      <w:fldSimple w:instr="PAGEREF chapter_0 \h"/>
    </w:p>
    <w:p>
      <w:pPr>
        <w:tabs>
          <w:tab w:val="right" w:pos="10080" w:leader="dot"/>
        </w:tabs>
        <w:spacing w:after="190" w:line="276"/>
      </w:pPr>
      <w:hyperlink w:history="1" w:anchor="chapter_1">
        <w:r>
          <w:rPr>
            <w:color w:val="20343E"/>
          </w:rPr>
          <w:t xml:space="preserve">02  Scope and recorded work</w:t>
        </w:r>
      </w:hyperlink>
      <w:r>
        <w:t xml:space="preserve">	</w:t>
      </w:r>
      <w:fldSimple w:instr="PAGEREF chapter_1 \h"/>
    </w:p>
    <w:p>
      <w:pPr>
        <w:tabs>
          <w:tab w:val="right" w:pos="10080" w:leader="dot"/>
        </w:tabs>
        <w:spacing w:after="190" w:line="276"/>
      </w:pPr>
      <w:hyperlink w:history="1" w:anchor="chapter_2">
        <w:r>
          <w:rPr>
            <w:color w:val="20343E"/>
          </w:rPr>
          <w:t xml:space="preserve">03  Findings and required actions</w:t>
        </w:r>
      </w:hyperlink>
      <w:r>
        <w:t xml:space="preserve">	</w:t>
      </w:r>
      <w:fldSimple w:instr="PAGEREF chapter_2 \h"/>
    </w:p>
    <w:p>
      <w:pPr>
        <w:tabs>
          <w:tab w:val="right" w:pos="10080" w:leader="dot"/>
        </w:tabs>
        <w:spacing w:after="190" w:line="276"/>
      </w:pPr>
      <w:hyperlink w:history="1" w:anchor="chapter_3">
        <w:r>
          <w:rPr>
            <w:color w:val="20343E"/>
          </w:rPr>
          <w:t xml:space="preserve">04  Assets and equipment</w:t>
        </w:r>
      </w:hyperlink>
      <w:r>
        <w:t xml:space="preserve">	</w:t>
      </w:r>
      <w:fldSimple w:instr="PAGEREF chapter_3 \h"/>
    </w:p>
    <w:p>
      <w:pPr>
        <w:tabs>
          <w:tab w:val="right" w:pos="10080" w:leader="dot"/>
        </w:tabs>
        <w:spacing w:after="190" w:line="276"/>
      </w:pPr>
      <w:hyperlink w:history="1" w:anchor="chapter_4">
        <w:r>
          <w:rPr>
            <w:color w:val="20343E"/>
          </w:rPr>
          <w:t xml:space="preserve">05  Review basis and outstanding information</w:t>
        </w:r>
      </w:hyperlink>
      <w:r>
        <w:t xml:space="preserve">	</w:t>
      </w:r>
      <w:fldSimple w:instr="PAGEREF chapter_4 \h"/>
    </w:p>
    <w:p>
      <w:pPr>
        <w:tabs>
          <w:tab w:val="right" w:pos="10080" w:leader="dot"/>
        </w:tabs>
        <w:spacing w:after="190" w:line="276"/>
      </w:pPr>
      <w:hyperlink w:history="1" w:anchor="chapter_5">
        <w:r>
          <w:rPr>
            <w:color w:val="20343E"/>
          </w:rPr>
          <w:t xml:space="preserve">06  Source references</w:t>
        </w:r>
      </w:hyperlink>
      <w:r>
        <w:t xml:space="preserve">	</w:t>
      </w:r>
      <w:fldSimple w:instr="PAGEREF chapter_5 \h"/>
    </w:p>
    <w:p>
      <w:pPr>
        <w:pStyle w:val="Heading1"/>
        <w:keepNext/>
        <w:pageBreakBefore/>
      </w:pPr>
      <w:bookmarkStart w:name="chapter_0" w:id="1"/>
      <w:r>
        <w:t xml:space="preserve">Executive summary</w:t>
      </w:r>
      <w:bookmarkEnd w:id="1"/>
    </w:p>
    <w:p>
      <w:pPr>
        <w:keepNext w:val="false"/>
        <w:keepLines/>
        <w:spacing w:after="100" w:line="276"/>
      </w:pPr>
      <w:r>
        <w:t xml:space="preserve">Water-main installation has reached a recorded total of 245 LF across the October 6 and October 7 daily logs. The October 8 measurement correction replaces the original October 7 quantity of 140 LF with 125 LF. Combined with the unchanged October 6 quantity of 120 LF, this produces the accepted two-day total. The prior-day quantity repeated in the second log is context and is not counted again. [S02–S04]</w:t>
      </w:r>
    </w:p>
    <w:p>
      <w:pPr>
        <w:keepNext w:val="false"/>
        <w:keepLines/>
        <w:spacing w:after="100" w:line="276"/>
      </w:pPr>
      <w:r>
        <w:t xml:space="preserve">The material account records 300 LF received, 20 LF returned to the supplier and 245 LF installed, leaving 35 LF unused. This balance agrees with the recorded stock count. It describes material disposition and does not establish completion of the remaining tie-in, testing or restoration work. [S01, S05]</w:t>
      </w:r>
    </w:p>
    <w:p>
      <w:pPr>
        <w:keepNext w:val="false"/>
        <w:keepLines/>
        <w:spacing w:after="100" w:line="276"/>
      </w:pPr>
      <w:r>
        <w:t xml:space="preserve">The immediate construction decision is the written alignment direction for MH-03 under RFI 014. Pressure testing remains scheduled for October 12, with no completed test result or operating release in the records. Two field actions also remain open: debris removal at CI-014 and confirmation and replacement of the identification tag at GM-007. The report therefore retains these items as outstanding. [S01, S06, S07]</w:t>
      </w:r>
    </w:p>
    <w:p>
      <w:pPr>
        <w:pStyle w:val="Heading2"/>
        <w:keepNext/>
      </w:pPr>
      <w:r>
        <w:t xml:space="preserve">Current job condition</w:t>
      </w:r>
    </w:p>
    <w:p>
      <w:pPr>
        <w:keepNext w:val="false"/>
        <w:keepLines/>
        <w:spacing w:after="100" w:line="276"/>
      </w:pPr>
      <w:r>
        <w:t xml:space="preserve">On 2026-10-07, Cedar Civil reported work at North access corridor. The October 7 installed length is 125 LF after the October 8 correction to the original 140 LF entry. The crew log records six people and 48 labor hours. The earlier 120 LF appears as prior-day context; the corrected total for both days is 245 LF. The MH-03 tie-in had not started. [S03, S04] Documented next step: Obtain written alignment direction before starting the MH-03 tie-in. [S06]</w:t>
      </w:r>
    </w:p>
    <w:p>
      <w:pPr>
        <w:pStyle w:val="Heading2"/>
        <w:keepNext/>
      </w:pPr>
      <w:r>
        <w:t xml:space="preserve">Project particulars</w:t>
      </w:r>
    </w:p>
    <w:tbl>
      <w:tblPr>
        <w:tblW w:type="dxa" w:w="1008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822"/>
        <w:gridCol w:w="7258"/>
      </w:tblGrid>
      <w:tr>
        <w:trPr>
          <w:cantSplit/>
          <w:tblHeader/>
        </w:trPr>
        <w:tc>
          <w:tcPr>
            <w:tcW w:type="dxa" w:w="2822"/>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Project detail</w:t>
            </w:r>
          </w:p>
        </w:tc>
        <w:tc>
          <w:tcPr>
            <w:tcW w:type="dxa" w:w="7258"/>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Recorded information</w:t>
            </w:r>
          </w:p>
        </w:tc>
      </w:tr>
      <w:tr>
        <w:trPr>
          <w:cantSplit/>
          <w:tblHeader w:val="false"/>
        </w:trPr>
        <w:tc>
          <w:tcPr>
            <w:tcW w:type="dxa" w:w="2822"/>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Work area</w:t>
            </w:r>
          </w:p>
        </w:tc>
        <w:tc>
          <w:tcPr>
            <w:tcW w:type="dxa" w:w="7258"/>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North access corridor</w:t>
            </w:r>
          </w:p>
        </w:tc>
      </w:tr>
      <w:tr>
        <w:trPr>
          <w:cantSplit/>
          <w:tblHeader w:val="false"/>
        </w:trPr>
        <w:tc>
          <w:tcPr>
            <w:tcW w:type="dxa" w:w="2822"/>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Contractor</w:t>
            </w:r>
          </w:p>
        </w:tc>
        <w:tc>
          <w:tcPr>
            <w:tcW w:type="dxa" w:w="7258"/>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Cedar Civil</w:t>
            </w:r>
          </w:p>
        </w:tc>
      </w:tr>
      <w:tr>
        <w:trPr>
          <w:cantSplit/>
          <w:tblHeader w:val="false"/>
        </w:trPr>
        <w:tc>
          <w:tcPr>
            <w:tcW w:type="dxa" w:w="2822"/>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Actions requiring follow-up</w:t>
            </w:r>
          </w:p>
        </w:tc>
        <w:tc>
          <w:tcPr>
            <w:tcW w:type="dxa" w:w="7258"/>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2</w:t>
            </w:r>
          </w:p>
        </w:tc>
      </w:tr>
      <w:tr>
        <w:trPr>
          <w:cantSplit/>
          <w:tblHeader w:val="false"/>
        </w:trPr>
        <w:tc>
          <w:tcPr>
            <w:tcW w:type="dxa" w:w="2822"/>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Assets recorded</w:t>
            </w:r>
          </w:p>
        </w:tc>
        <w:tc>
          <w:tcPr>
            <w:tcW w:type="dxa" w:w="7258"/>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3</w:t>
            </w:r>
          </w:p>
        </w:tc>
      </w:tr>
    </w:tbl>
    <w:p>
      <w:pPr>
        <w:spacing w:after="80"/>
      </w:pPr>
    </w:p>
    <w:p>
      <w:pPr>
        <w:pStyle w:val="Heading1"/>
        <w:keepNext/>
        <w:pageBreakBefore/>
      </w:pPr>
      <w:bookmarkStart w:name="chapter_1" w:id="1"/>
      <w:r>
        <w:t xml:space="preserve">Scope and recorded work</w:t>
      </w:r>
      <w:bookmarkEnd w:id="1"/>
    </w:p>
    <w:p>
      <w:pPr>
        <w:pStyle w:val="Heading2"/>
        <w:keepNext/>
      </w:pPr>
      <w:r>
        <w:t xml:space="preserve">Scope of work</w:t>
      </w:r>
    </w:p>
    <w:p>
      <w:pPr>
        <w:keepNext w:val="false"/>
        <w:keepLines/>
        <w:spacing w:after="100" w:line="276"/>
      </w:pPr>
      <w:r>
        <w:t xml:space="preserve">The work package covers installation of 300 LF of 8-inch water main between MH-01 and MH-03 in the north access corridor. Cedar Civil is responsible for the recorded construction work, which includes bedding, tie-ins, asset identification and restoration. Installed length is measured from the daily work records; delivery quantities alone do not establish completed construction. [S01]</w:t>
      </w:r>
    </w:p>
    <w:p>
      <w:pPr>
        <w:keepNext w:val="false"/>
        <w:keepLines/>
        <w:spacing w:after="100" w:line="276"/>
      </w:pPr>
      <w:r>
        <w:t xml:space="preserve">The proposed alignment shift at MH-03 is intended to avoid an existing service. RFI 014 requires written owner direction before the tie-in proceeds on that alignment. The restriction applies to the MH-03 tie-in; the source does not establish a stop on all project work. No approval date or approved replacement alignment is recorded. [S06]</w:t>
      </w:r>
    </w:p>
    <w:p>
      <w:pPr>
        <w:pStyle w:val="Heading2"/>
        <w:keepNext/>
      </w:pPr>
      <w:r>
        <w:t xml:space="preserve">Recorded work and sequence</w:t>
      </w:r>
    </w:p>
    <w:p>
      <w:pPr>
        <w:keepNext w:val="false"/>
        <w:keepLines/>
        <w:spacing w:after="100" w:line="276"/>
      </w:pPr>
      <w:r>
        <w:t xml:space="preserve">On 2026-10-06, Cedar Civil reported the following work. The crew installed 120 LF of 8-inch water main between MH-01 and MH-02. Bedding was placed and the trench was restored to the end of the installed segment. The log records six crew members and 48 labor hours. No pressure testing was performed. [S02]</w:t>
      </w:r>
    </w:p>
    <w:p>
      <w:pPr>
        <w:keepNext w:val="false"/>
        <w:keepLines/>
        <w:spacing w:after="100" w:line="276"/>
      </w:pPr>
      <w:r>
        <w:t xml:space="preserve">On 2026-10-07, Cedar Civil reported the following work. The October 7 installed length is 125 LF after the October 8 correction to the original 140 LF entry. The crew log records six people and 48 labor hours. The earlier 120 LF appears as prior-day context; the corrected total for both days is 245 LF. The MH-03 tie-in had not started. [S03, S04] Next: Obtain written alignment direction before starting the MH-03 tie-in. [S06]</w:t>
      </w:r>
    </w:p>
    <w:tbl>
      <w:tblPr>
        <w:tblW w:type="dxa" w:w="1008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1915"/>
        <w:gridCol w:w="4334"/>
        <w:gridCol w:w="3830"/>
      </w:tblGrid>
      <w:tr>
        <w:trPr>
          <w:cantSplit/>
          <w:tblHeader/>
        </w:trPr>
        <w:tc>
          <w:tcPr>
            <w:tcW w:type="dxa" w:w="1915"/>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Date</w:t>
            </w:r>
          </w:p>
        </w:tc>
        <w:tc>
          <w:tcPr>
            <w:tcW w:type="dxa" w:w="4334"/>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Record</w:t>
            </w:r>
          </w:p>
        </w:tc>
        <w:tc>
          <w:tcPr>
            <w:tcW w:type="dxa" w:w="3830"/>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Source</w:t>
            </w:r>
          </w:p>
        </w:tc>
      </w:tr>
      <w:tr>
        <w:trPr>
          <w:cantSplit/>
          <w:tblHeader w:val="false"/>
        </w:trPr>
        <w:tc>
          <w:tcPr>
            <w:tcW w:type="dxa" w:w="1915"/>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2026-10-06</w:t>
            </w:r>
          </w:p>
        </w:tc>
        <w:tc>
          <w:tcPr>
            <w:tcW w:type="dxa" w:w="4334"/>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Cedar Civil / Water main installation at MH-01 to MH-02</w:t>
            </w:r>
          </w:p>
        </w:tc>
        <w:tc>
          <w:tcPr>
            <w:tcW w:type="dxa" w:w="383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S02 / Daily log October 6</w:t>
            </w:r>
          </w:p>
        </w:tc>
      </w:tr>
      <w:tr>
        <w:trPr>
          <w:cantSplit/>
          <w:tblHeader w:val="false"/>
        </w:trPr>
        <w:tc>
          <w:tcPr>
            <w:tcW w:type="dxa" w:w="1915"/>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2026-10-07</w:t>
            </w:r>
          </w:p>
        </w:tc>
        <w:tc>
          <w:tcPr>
            <w:tcW w:type="dxa" w:w="4334"/>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Cedar Civil / Corrected installation approaching MH-03</w:t>
            </w:r>
          </w:p>
        </w:tc>
        <w:tc>
          <w:tcPr>
            <w:tcW w:type="dxa" w:w="383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S04 / Measured quantity correction</w:t>
            </w:r>
          </w:p>
        </w:tc>
      </w:tr>
    </w:tbl>
    <w:p>
      <w:pPr>
        <w:spacing w:after="80"/>
      </w:pPr>
    </w:p>
    <w:p>
      <w:pPr>
        <w:pStyle w:val="Heading1"/>
        <w:keepNext/>
        <w:pageBreakBefore/>
      </w:pPr>
      <w:bookmarkStart w:name="chapter_2" w:id="1"/>
      <w:r>
        <w:t xml:space="preserve">Findings and required actions</w:t>
      </w:r>
      <w:bookmarkEnd w:id="1"/>
    </w:p>
    <w:p>
      <w:pPr>
        <w:pStyle w:val="Heading2"/>
        <w:keepNext/>
      </w:pPr>
      <w:r>
        <w:t xml:space="preserve">Action responsibilities</w:t>
      </w:r>
    </w:p>
    <w:p>
      <w:pPr>
        <w:keepNext w:val="false"/>
        <w:keepLines/>
        <w:spacing w:after="100" w:line="276"/>
      </w:pPr>
      <w:r>
        <w:t xml:space="preserve">The project contains 2 recorded corrective actions, of which 2 remain open. The observations below describe each condition and the work required. The register identifies the recorded responsibility, priority and due date; the status remains as entered in the project.</w:t>
      </w:r>
    </w:p>
    <w:tbl>
      <w:tblPr>
        <w:tblW w:type="dxa" w:w="1008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1512"/>
        <w:gridCol w:w="2520"/>
        <w:gridCol w:w="3629"/>
        <w:gridCol w:w="2419"/>
      </w:tblGrid>
      <w:tr>
        <w:trPr>
          <w:cantSplit/>
          <w:tblHeader/>
        </w:trPr>
        <w:tc>
          <w:tcPr>
            <w:tcW w:type="dxa" w:w="1512"/>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Action</w:t>
            </w:r>
          </w:p>
        </w:tc>
        <w:tc>
          <w:tcPr>
            <w:tcW w:type="dxa" w:w="2520"/>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Priority and status</w:t>
            </w:r>
          </w:p>
        </w:tc>
        <w:tc>
          <w:tcPr>
            <w:tcW w:type="dxa" w:w="3629"/>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Responsible party</w:t>
            </w:r>
          </w:p>
        </w:tc>
        <w:tc>
          <w:tcPr>
            <w:tcW w:type="dxa" w:w="2419"/>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Due date</w:t>
            </w:r>
          </w:p>
        </w:tc>
      </w:tr>
      <w:tr>
        <w:trPr>
          <w:cantSplit/>
          <w:tblHeader w:val="false"/>
        </w:trPr>
        <w:tc>
          <w:tcPr>
            <w:tcW w:type="dxa" w:w="1512"/>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CA-001</w:t>
            </w:r>
          </w:p>
        </w:tc>
        <w:tc>
          <w:tcPr>
            <w:tcW w:type="dxa" w:w="252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Priority 2 / Open</w:t>
            </w:r>
          </w:p>
        </w:tc>
        <w:tc>
          <w:tcPr>
            <w:tcW w:type="dxa" w:w="3629"/>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Cedar Civil</w:t>
            </w:r>
          </w:p>
        </w:tc>
        <w:tc>
          <w:tcPr>
            <w:tcW w:type="dxa" w:w="2419"/>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2026-10-09</w:t>
            </w:r>
          </w:p>
        </w:tc>
      </w:tr>
      <w:tr>
        <w:trPr>
          <w:cantSplit/>
          <w:tblHeader w:val="false"/>
        </w:trPr>
        <w:tc>
          <w:tcPr>
            <w:tcW w:type="dxa" w:w="1512"/>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CA-002</w:t>
            </w:r>
          </w:p>
        </w:tc>
        <w:tc>
          <w:tcPr>
            <w:tcW w:type="dxa" w:w="252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Priority 3 / Open</w:t>
            </w:r>
          </w:p>
        </w:tc>
        <w:tc>
          <w:tcPr>
            <w:tcW w:type="dxa" w:w="3629"/>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Utility coordinator</w:t>
            </w:r>
          </w:p>
        </w:tc>
        <w:tc>
          <w:tcPr>
            <w:tcW w:type="dxa" w:w="2419"/>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2026-10-10</w:t>
            </w:r>
          </w:p>
        </w:tc>
      </w:tr>
    </w:tbl>
    <w:p>
      <w:pPr>
        <w:spacing w:after="80"/>
      </w:pPr>
    </w:p>
    <w:p>
      <w:pPr>
        <w:pStyle w:val="Heading2"/>
        <w:keepNext/>
      </w:pPr>
      <w:r>
        <w:t xml:space="preserve">CA-001 CI-014</w:t>
      </w:r>
    </w:p>
    <w:p>
      <w:pPr>
        <w:keepNext/>
        <w:keepLines/>
        <w:spacing w:after="100" w:line="276"/>
      </w:pPr>
      <w:r>
        <w:rPr>
          <w:color w:val="586A73"/>
          <w:sz w:val="19"/>
          <w:szCs w:val="19"/>
        </w:rPr>
        <w:t xml:space="preserve">North access road</w:t>
      </w:r>
    </w:p>
    <w:p>
      <w:pPr>
        <w:keepNext w:val="false"/>
        <w:keepLines/>
        <w:spacing w:after="100" w:line="276"/>
      </w:pPr>
      <w:r>
        <w:t xml:space="preserve">Loose debris at the curb inlet opening may restrict surface drainage.</w:t>
      </w:r>
    </w:p>
    <w:p>
      <w:pPr>
        <w:keepNext w:val="false"/>
        <w:keepLines/>
        <w:spacing w:after="100" w:line="276"/>
      </w:pPr>
      <w:r>
        <w:t xml:space="preserve">Remove debris and document the inlet after cleaning.</w:t>
      </w:r>
    </w:p>
    <w:p>
      <w:pPr>
        <w:keepLines/>
        <w:spacing w:after="100" w:line="276"/>
      </w:pPr>
      <w:r>
        <w:rPr>
          <w:color w:val="586A73"/>
          <w:sz w:val="18"/>
          <w:szCs w:val="18"/>
        </w:rPr>
        <w:t xml:space="preserve">Source  S07 / Field walk notes / CI-014</w:t>
      </w:r>
    </w:p>
    <w:p>
      <w:pPr>
        <w:pStyle w:val="Heading2"/>
        <w:keepNext/>
      </w:pPr>
      <w:r>
        <w:t xml:space="preserve">CA-002 GM-007</w:t>
      </w:r>
    </w:p>
    <w:p>
      <w:pPr>
        <w:keepNext/>
        <w:keepLines/>
        <w:spacing w:after="100" w:line="276"/>
      </w:pPr>
      <w:r>
        <w:rPr>
          <w:color w:val="586A73"/>
          <w:sz w:val="19"/>
          <w:szCs w:val="19"/>
        </w:rPr>
        <w:t xml:space="preserve">East service enclosure</w:t>
      </w:r>
    </w:p>
    <w:p>
      <w:pPr>
        <w:keepNext w:val="false"/>
        <w:keepLines/>
        <w:spacing w:after="100" w:line="276"/>
      </w:pPr>
      <w:r>
        <w:t xml:space="preserve">The gas-meter identification tag is missing.</w:t>
      </w:r>
    </w:p>
    <w:p>
      <w:pPr>
        <w:keepNext w:val="false"/>
        <w:keepLines/>
        <w:spacing w:after="100" w:line="276"/>
      </w:pPr>
      <w:r>
        <w:t xml:space="preserve">Confirm asset identity against the utility register and replace the tag.</w:t>
      </w:r>
    </w:p>
    <w:p>
      <w:pPr>
        <w:keepLines/>
        <w:spacing w:after="100" w:line="276"/>
      </w:pPr>
      <w:r>
        <w:rPr>
          <w:color w:val="586A73"/>
          <w:sz w:val="18"/>
          <w:szCs w:val="18"/>
        </w:rPr>
        <w:t xml:space="preserve">Source  S07 / Field walk notes / GM-007</w:t>
      </w:r>
    </w:p>
    <w:p>
      <w:pPr>
        <w:pStyle w:val="Heading1"/>
        <w:keepNext/>
        <w:pageBreakBefore/>
      </w:pPr>
      <w:bookmarkStart w:name="chapter_3" w:id="1"/>
      <w:r>
        <w:t xml:space="preserve">Assets and equipment</w:t>
      </w:r>
      <w:bookmarkEnd w:id="1"/>
    </w:p>
    <w:p>
      <w:pPr>
        <w:pStyle w:val="Heading2"/>
        <w:keepNext/>
      </w:pPr>
      <w:r>
        <w:t xml:space="preserve">Asset inventory</w:t>
      </w:r>
    </w:p>
    <w:p>
      <w:pPr>
        <w:keepNext w:val="false"/>
        <w:keepLines/>
        <w:spacing w:after="100" w:line="276"/>
      </w:pPr>
      <w:r>
        <w:t xml:space="preserve">The project register contains 3 assets. The table records each asset's location and stated condition. The individual accounts that follow retain the associated observations, maintenance notes and source references. A movement or delivery entry does not establish an asset's physical condition.</w:t>
      </w:r>
    </w:p>
    <w:tbl>
      <w:tblPr>
        <w:tblW w:type="dxa" w:w="1008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629"/>
        <w:gridCol w:w="3830"/>
        <w:gridCol w:w="2621"/>
      </w:tblGrid>
      <w:tr>
        <w:trPr>
          <w:cantSplit/>
          <w:tblHeader/>
        </w:trPr>
        <w:tc>
          <w:tcPr>
            <w:tcW w:type="dxa" w:w="3629"/>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Asset / type</w:t>
            </w:r>
          </w:p>
        </w:tc>
        <w:tc>
          <w:tcPr>
            <w:tcW w:type="dxa" w:w="3830"/>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Location</w:t>
            </w:r>
          </w:p>
        </w:tc>
        <w:tc>
          <w:tcPr>
            <w:tcW w:type="dxa" w:w="2621"/>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Recorded condition</w:t>
            </w:r>
          </w:p>
        </w:tc>
      </w:tr>
      <w:tr>
        <w:trPr>
          <w:cantSplit/>
          <w:tblHeader w:val="false"/>
        </w:trPr>
        <w:tc>
          <w:tcPr>
            <w:tcW w:type="dxa" w:w="3629"/>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CI-014 · Curb inlet</w:t>
            </w:r>
          </w:p>
        </w:tc>
        <w:tc>
          <w:tcPr>
            <w:tcW w:type="dxa" w:w="383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North access road</w:t>
            </w:r>
          </w:p>
        </w:tc>
        <w:tc>
          <w:tcPr>
            <w:tcW w:type="dxa" w:w="2621"/>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Needs Maintenance</w:t>
            </w:r>
          </w:p>
        </w:tc>
      </w:tr>
      <w:tr>
        <w:trPr>
          <w:cantSplit/>
          <w:tblHeader w:val="false"/>
        </w:trPr>
        <w:tc>
          <w:tcPr>
            <w:tcW w:type="dxa" w:w="3629"/>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GM-007 · Gas meter</w:t>
            </w:r>
          </w:p>
        </w:tc>
        <w:tc>
          <w:tcPr>
            <w:tcW w:type="dxa" w:w="383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East service enclosure</w:t>
            </w:r>
          </w:p>
        </w:tc>
        <w:tc>
          <w:tcPr>
            <w:tcW w:type="dxa" w:w="2621"/>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Fair</w:t>
            </w:r>
          </w:p>
        </w:tc>
      </w:tr>
      <w:tr>
        <w:trPr>
          <w:cantSplit/>
          <w:tblHeader w:val="false"/>
        </w:trPr>
        <w:tc>
          <w:tcPr>
            <w:tcW w:type="dxa" w:w="3629"/>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EX-003 · Excavator</w:t>
            </w:r>
          </w:p>
        </w:tc>
        <w:tc>
          <w:tcPr>
            <w:tcW w:type="dxa" w:w="383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Equipment staging</w:t>
            </w:r>
          </w:p>
        </w:tc>
        <w:tc>
          <w:tcPr>
            <w:tcW w:type="dxa" w:w="2621"/>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Not assessed</w:t>
            </w:r>
          </w:p>
        </w:tc>
      </w:tr>
    </w:tbl>
    <w:p>
      <w:pPr>
        <w:spacing w:after="80"/>
      </w:pPr>
    </w:p>
    <w:p>
      <w:pPr>
        <w:pStyle w:val="Heading2"/>
        <w:keepNext/>
      </w:pPr>
      <w:r>
        <w:t xml:space="preserve">CI-014 Curb inlet</w:t>
      </w:r>
    </w:p>
    <w:p>
      <w:pPr>
        <w:keepNext w:val="false"/>
        <w:keepLines/>
        <w:spacing w:after="100" w:line="276"/>
      </w:pPr>
      <w:r>
        <w:t xml:space="preserve">CI-014 is recorded at North access road; its condition is recorded as "Needs Maintenance" as of 2026-10-07.</w:t>
      </w:r>
    </w:p>
    <w:p>
      <w:pPr>
        <w:keepLines/>
        <w:spacing w:after="100" w:line="276"/>
      </w:pPr>
      <w:r>
        <w:rPr>
          <w:color w:val="586A73"/>
          <w:sz w:val="18"/>
          <w:szCs w:val="18"/>
        </w:rPr>
        <w:t xml:space="preserve">Source  S07 / Field walk notes</w:t>
      </w:r>
    </w:p>
    <w:p>
      <w:pPr>
        <w:pStyle w:val="Heading2"/>
        <w:keepNext/>
      </w:pPr>
      <w:r>
        <w:t xml:space="preserve">GM-007 Gas meter</w:t>
      </w:r>
    </w:p>
    <w:p>
      <w:pPr>
        <w:keepNext w:val="false"/>
        <w:keepLines/>
        <w:spacing w:after="100" w:line="276"/>
      </w:pPr>
      <w:r>
        <w:t xml:space="preserve">GM-007 is recorded at East service enclosure; its condition is recorded as "Fair" as of 2026-10-07.</w:t>
      </w:r>
    </w:p>
    <w:p>
      <w:pPr>
        <w:keepLines/>
        <w:spacing w:after="100" w:line="276"/>
      </w:pPr>
      <w:r>
        <w:rPr>
          <w:color w:val="586A73"/>
          <w:sz w:val="18"/>
          <w:szCs w:val="18"/>
        </w:rPr>
        <w:t xml:space="preserve">Source  S07 / Field walk notes</w:t>
      </w:r>
    </w:p>
    <w:p>
      <w:pPr>
        <w:pStyle w:val="Heading2"/>
        <w:keepNext/>
      </w:pPr>
      <w:r>
        <w:t xml:space="preserve">EX-003 Excavator</w:t>
      </w:r>
    </w:p>
    <w:p>
      <w:pPr>
        <w:keepNext w:val="false"/>
        <w:keepLines/>
        <w:spacing w:after="100" w:line="276"/>
      </w:pPr>
      <w:r>
        <w:t xml:space="preserve">EX-003 is recorded at Equipment staging; its condition is recorded as "Not assessed" as of 2026-10-08.</w:t>
      </w:r>
    </w:p>
    <w:p>
      <w:pPr>
        <w:keepNext w:val="false"/>
        <w:keepLines/>
        <w:spacing w:after="100" w:line="276"/>
      </w:pPr>
      <w:r>
        <w:t xml:space="preserve">Delivered October 5; assigned work finished October 8. Ready for pickup. Requested pickup October 9 is not proof of collection. [S08]</w:t>
      </w:r>
    </w:p>
    <w:p>
      <w:pPr>
        <w:keepLines/>
        <w:spacing w:after="100" w:line="276"/>
      </w:pPr>
      <w:r>
        <w:rPr>
          <w:color w:val="586A73"/>
          <w:sz w:val="18"/>
          <w:szCs w:val="18"/>
        </w:rPr>
        <w:t xml:space="preserve">Source  S08 / Equipment movement log</w:t>
      </w:r>
    </w:p>
    <w:p>
      <w:pPr>
        <w:pStyle w:val="Heading1"/>
        <w:keepNext/>
        <w:pageBreakBefore/>
      </w:pPr>
      <w:bookmarkStart w:name="chapter_4" w:id="1"/>
      <w:r>
        <w:t xml:space="preserve">Review basis and outstanding information</w:t>
      </w:r>
      <w:bookmarkEnd w:id="1"/>
    </w:p>
    <w:p>
      <w:pPr>
        <w:pStyle w:val="Heading2"/>
        <w:keepNext/>
      </w:pPr>
      <w:r>
        <w:t xml:space="preserve">Methods and conditions</w:t>
      </w:r>
    </w:p>
    <w:p>
      <w:pPr>
        <w:keepNext w:val="false"/>
        <w:keepLines/>
        <w:spacing w:after="100" w:line="276"/>
      </w:pPr>
      <w:r>
        <w:t xml:space="preserve">The report consolidates eight records: the work package, two daily logs, a measurement correction, the material register, RFI 014, field-walk notes and the equipment log. The daily logs describe installed work, while the material and equipment registers describe separate movements. These sources are read together without treating a delivery as installed work or a pickup request as completed collection. [S01–S08]</w:t>
      </w:r>
    </w:p>
    <w:p>
      <w:pPr>
        <w:keepNext w:val="false"/>
        <w:keepLines/>
        <w:spacing w:after="100" w:line="276"/>
      </w:pPr>
      <w:r>
        <w:t xml:space="preserve">The October 8 correction changes only the October 7 installed length from 140 LF to 125 LF. The October 6 quantity, other work descriptions, test status and RFI status remain unchanged by that correction. Original and correcting records are retained in the source register so the reported total can be traced to its basis. [S02–S04]</w:t>
      </w:r>
    </w:p>
    <w:p>
      <w:pPr>
        <w:pStyle w:val="Heading2"/>
        <w:keepNext/>
      </w:pPr>
      <w:r>
        <w:t xml:space="preserve">Limitations and unverified information</w:t>
      </w:r>
    </w:p>
    <w:p>
      <w:pPr>
        <w:keepNext w:val="false"/>
        <w:keepLines/>
        <w:spacing w:after="100" w:line="276"/>
      </w:pPr>
      <w:r>
        <w:t xml:space="preserve">The field-walk notes identify conditions at CI-014 and GM-007, but no photographs or closure records accompany them. Both corrective actions remain open in this report. Completed pressure-test results and an operating release are also absent; the scheduled test date does not establish a passed test or authorization to operate. [S01, S07]</w:t>
      </w:r>
    </w:p>
    <w:p>
      <w:pPr>
        <w:keepNext w:val="false"/>
        <w:keepLines/>
        <w:spacing w:after="100" w:line="276"/>
      </w:pPr>
      <w:r>
        <w:t xml:space="preserve">The equipment log establishes that EX-003 finished its assigned excavation work on October 8 and was ready for pickup. It records a requested collection date of October 9, but does not confirm collection or assess the excavator's condition. Those points require a later record or user confirmation. [S08]</w:t>
      </w:r>
    </w:p>
    <w:p>
      <w:pPr>
        <w:pStyle w:val="Heading2"/>
        <w:keepNext/>
      </w:pPr>
      <w:r>
        <w:t xml:space="preserve">Outstanding information checks</w:t>
      </w:r>
    </w:p>
    <w:p>
      <w:pPr>
        <w:keepNext w:val="false"/>
        <w:keepLines/>
        <w:spacing w:after="100" w:line="276"/>
      </w:pPr>
      <w:r>
        <w:t xml:space="preserve">The following items remain for the project team to confirm before release. They identify incomplete information or review steps; they do not establish that an unrecorded inspection, action or approval has occurred.</w:t>
      </w:r>
    </w:p>
    <w:tbl>
      <w:tblPr>
        <w:tblW w:type="dxa" w:w="1008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20"/>
        <w:gridCol w:w="7560"/>
      </w:tblGrid>
      <w:tr>
        <w:trPr>
          <w:cantSplit/>
          <w:tblHeader/>
        </w:trPr>
        <w:tc>
          <w:tcPr>
            <w:tcW w:type="dxa" w:w="2520"/>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Record</w:t>
            </w:r>
          </w:p>
        </w:tc>
        <w:tc>
          <w:tcPr>
            <w:tcW w:type="dxa" w:w="7560"/>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Confirm before release</w:t>
            </w:r>
          </w:p>
        </w:tc>
      </w:tr>
      <w:tr>
        <w:trPr>
          <w:cantSplit/>
          <w:tblHeader w:val="false"/>
        </w:trPr>
        <w:tc>
          <w:tcPr>
            <w:tcW w:type="dxa" w:w="252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Assets</w:t>
            </w:r>
          </w:p>
        </w:tc>
        <w:tc>
          <w:tcPr>
            <w:tcW w:type="dxa" w:w="756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1 asset has not been assessed. Inventory imports do not prove inspection.</w:t>
            </w:r>
          </w:p>
        </w:tc>
      </w:tr>
      <w:tr>
        <w:trPr>
          <w:cantSplit/>
          <w:tblHeader w:val="false"/>
        </w:trPr>
        <w:tc>
          <w:tcPr>
            <w:tcW w:type="dxa" w:w="252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Photos</w:t>
            </w:r>
          </w:p>
        </w:tc>
        <w:tc>
          <w:tcPr>
            <w:tcW w:type="dxa" w:w="756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No photographic evidence attached.</w:t>
            </w:r>
          </w:p>
        </w:tc>
      </w:tr>
      <w:tr>
        <w:trPr>
          <w:cantSplit/>
          <w:tblHeader w:val="false"/>
        </w:trPr>
        <w:tc>
          <w:tcPr>
            <w:tcW w:type="dxa" w:w="252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Review</w:t>
            </w:r>
          </w:p>
        </w:tc>
        <w:tc>
          <w:tcPr>
            <w:tcW w:type="dxa" w:w="756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Reviewer name has not been recorded.</w:t>
            </w:r>
          </w:p>
        </w:tc>
      </w:tr>
    </w:tbl>
    <w:p>
      <w:pPr>
        <w:spacing w:after="80"/>
      </w:pPr>
    </w:p>
    <w:p>
      <w:pPr>
        <w:pStyle w:val="Heading1"/>
        <w:keepNext/>
        <w:pageBreakBefore/>
      </w:pPr>
      <w:bookmarkStart w:name="chapter_5" w:id="1"/>
      <w:r>
        <w:t xml:space="preserve">Source references</w:t>
      </w:r>
      <w:bookmarkEnd w:id="1"/>
    </w:p>
    <w:p>
      <w:pPr>
        <w:pStyle w:val="Heading2"/>
        <w:keepNext/>
      </w:pPr>
      <w:r>
        <w:t xml:space="preserve">Source file register</w:t>
      </w:r>
    </w:p>
    <w:p>
      <w:pPr>
        <w:keepNext w:val="false"/>
        <w:keepLines/>
        <w:spacing w:after="100" w:line="276"/>
      </w:pPr>
      <w:r>
        <w:t xml:space="preserve">This report is supported by the 8 source files listed below. References in the narrative identify the originating records. Where versions are listed, earlier versions remain part of the record and should be read with their stated replacement or correction.</w:t>
      </w:r>
    </w:p>
    <w:tbl>
      <w:tblPr>
        <w:tblW w:type="dxa" w:w="1008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10080"/>
      </w:tblGrid>
      <w:tr>
        <w:trPr>
          <w:cantSplit/>
          <w:tblHeader/>
        </w:trPr>
        <w:tc>
          <w:tcPr>
            <w:tcW w:type="dxa" w:w="10080"/>
            <w:shd w:fill="20343E"/>
            <w:tcMar>
              <w:top w:type="dxa" w:w="110"/>
              <w:left w:type="dxa" w:w="130"/>
              <w:bottom w:type="dxa" w:w="110"/>
              <w:right w:type="dxa" w:w="130"/>
            </w:tcMar>
            <w:vAlign w:val="center"/>
          </w:tcPr>
          <w:p>
            <w:pPr>
              <w:keepNext/>
              <w:keepLines/>
              <w:spacing w:after="0" w:line="240"/>
            </w:pPr>
            <w:r>
              <w:rPr>
                <w:b/>
                <w:bCs/>
                <w:color w:val="FFFFFF"/>
                <w:sz w:val="19"/>
                <w:szCs w:val="19"/>
              </w:rPr>
              <w:t xml:space="preserve">Source file</w:t>
            </w:r>
          </w:p>
        </w:tc>
      </w:tr>
      <w:tr>
        <w:trPr>
          <w:cantSplit/>
          <w:tblHeader w:val="false"/>
        </w:trPr>
        <w:tc>
          <w:tcPr>
            <w:tcW w:type="dxa" w:w="1008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S01 — 01_Work_package.txt</w:t>
            </w:r>
          </w:p>
        </w:tc>
      </w:tr>
      <w:tr>
        <w:trPr>
          <w:cantSplit/>
          <w:tblHeader w:val="false"/>
        </w:trPr>
        <w:tc>
          <w:tcPr>
            <w:tcW w:type="dxa" w:w="1008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S02 — 02_Daily_log_2026-10-06.pdf</w:t>
            </w:r>
          </w:p>
        </w:tc>
      </w:tr>
      <w:tr>
        <w:trPr>
          <w:cantSplit/>
          <w:tblHeader w:val="false"/>
        </w:trPr>
        <w:tc>
          <w:tcPr>
            <w:tcW w:type="dxa" w:w="1008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S03 — 03_Daily_log_2026-10-07.pdf</w:t>
            </w:r>
          </w:p>
        </w:tc>
      </w:tr>
      <w:tr>
        <w:trPr>
          <w:cantSplit/>
          <w:tblHeader w:val="false"/>
        </w:trPr>
        <w:tc>
          <w:tcPr>
            <w:tcW w:type="dxa" w:w="1008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S04 — 04_Quantity_correction.txt</w:t>
            </w:r>
          </w:p>
        </w:tc>
      </w:tr>
      <w:tr>
        <w:trPr>
          <w:cantSplit/>
          <w:tblHeader w:val="false"/>
        </w:trPr>
        <w:tc>
          <w:tcPr>
            <w:tcW w:type="dxa" w:w="1008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S05 — 05_Material_register.csv</w:t>
            </w:r>
          </w:p>
        </w:tc>
      </w:tr>
      <w:tr>
        <w:trPr>
          <w:cantSplit/>
          <w:tblHeader w:val="false"/>
        </w:trPr>
        <w:tc>
          <w:tcPr>
            <w:tcW w:type="dxa" w:w="1008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S06 — 06_RFI_014_status.pdf</w:t>
            </w:r>
          </w:p>
        </w:tc>
      </w:tr>
      <w:tr>
        <w:trPr>
          <w:cantSplit/>
          <w:tblHeader w:val="false"/>
        </w:trPr>
        <w:tc>
          <w:tcPr>
            <w:tcW w:type="dxa" w:w="10080"/>
            <w:shd w:fill="FFFFFF"/>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S07 — 07_Field_walk_notes.txt</w:t>
            </w:r>
          </w:p>
        </w:tc>
      </w:tr>
      <w:tr>
        <w:trPr>
          <w:cantSplit/>
          <w:tblHeader w:val="false"/>
        </w:trPr>
        <w:tc>
          <w:tcPr>
            <w:tcW w:type="dxa" w:w="10080"/>
            <w:shd w:fill="F4F7F8"/>
            <w:tcMar>
              <w:top w:type="dxa" w:w="110"/>
              <w:left w:type="dxa" w:w="130"/>
              <w:bottom w:type="dxa" w:w="110"/>
              <w:right w:type="dxa" w:w="130"/>
            </w:tcMar>
            <w:vAlign w:val="center"/>
          </w:tcPr>
          <w:p>
            <w:pPr>
              <w:keepNext w:val="false"/>
              <w:keepLines/>
              <w:spacing w:after="0" w:line="240"/>
            </w:pPr>
            <w:r>
              <w:rPr>
                <w:b w:val="false"/>
                <w:bCs w:val="false"/>
                <w:color w:val="20343E"/>
                <w:sz w:val="19"/>
                <w:szCs w:val="19"/>
              </w:rPr>
              <w:t xml:space="preserve">S08 — 08_Equipment_log.txt</w:t>
            </w:r>
          </w:p>
        </w:tc>
      </w:tr>
    </w:tbl>
    <w:p>
      <w:pPr>
        <w:spacing w:after="80"/>
      </w:pPr>
    </w:p>
    <w:sectPr>
      <w:headerReference w:type="default" r:id="rId7"/>
      <w:footerReference w:type="default" r:id="rId8"/>
      <w:pgSz w:w="12240" w:h="15840" w:orient="portrait"/>
      <w:pgMar w:top="1080" w:right="1080" w:bottom="1000" w:left="1080" w:header="460" w:footer="4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pBdr>
      <w:spacing w:before="100"/>
      <w:rPr>
        <w:color w:val="586A73"/>
        <w:sz w:val="16"/>
        <w:szCs w:val="16"/>
      </w:rPr>
    </w:pPr>
    <w:r>
      <w:rPr>
        <w:color w:val="586A73"/>
        <w:sz w:val="16"/>
        <w:szCs w:val="16"/>
      </w:rPr>
      <w:t xml:space="preserve">DEMONSTRATION  |  DRAFT FOR REVIEW  ·  FieldDraft  |  Page </w:t>
    </w:r>
    <w:fldSimple w:instr="PAGE"/>
    <w:r>
      <w:rPr>
        <w:color w:val="586A73"/>
        <w:sz w:val="16"/>
        <w:szCs w:val="16"/>
      </w:rPr>
      <w:t xml:space="preserve"> of </w:t>
    </w:r>
    <w:fldSimple w:instr="NUMPAGE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spacing w:after="100" w:line="276"/>
    </w:pPr>
    <w:r>
      <w:rPr>
        <w:color w:val="000000"/>
        <w:sz w:val="16"/>
        <w:szCs w:val="16"/>
      </w:rPr>
      <w:t xml:space="preserve">TERRARIDGE TECHNOLOGIES  /  FIELDDRAFT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DejaVu Sans" w:hAnsi="DejaVu Sans"/>
        <w:color w:val="20343E"/>
        <w:sz w:val="22"/>
        <w:szCs w:val="22"/>
      </w:rPr>
    </w:rPrDefault>
    <w:pPrDefault>
      <w:pPr>
        <w:spacing w:after="150" w:line="300"/>
      </w:pPr>
    </w:pPrDefault>
  </w:docDefaults>
  <w:style w:type="paragraph" w:styleId="Title">
    <w:name w:val="Title"/>
    <w:basedOn w:val="Normal"/>
    <w:next w:val="Normal"/>
    <w:qFormat/>
    <w:pPr>
      <w:spacing w:after="240" w:before="160"/>
    </w:pPr>
    <w:rPr>
      <w:rFonts w:ascii="DejaVu Sans" w:cs="DejaVu Sans" w:eastAsia="DejaVu Sans" w:hAnsi="DejaVu Sans"/>
      <w:b/>
      <w:bCs/>
      <w:color w:val="000000"/>
      <w:sz w:val="48"/>
      <w:szCs w:val="48"/>
    </w:rPr>
  </w:style>
  <w:style w:type="paragraph" w:styleId="Heading1">
    <w:name w:val="Heading 1"/>
    <w:basedOn w:val="Normal"/>
    <w:next w:val="Normal"/>
    <w:qFormat/>
    <w:pPr>
      <w:spacing w:after="260" w:before="0"/>
    </w:pPr>
    <w:rPr>
      <w:rFonts w:ascii="DejaVu Sans" w:cs="DejaVu Sans" w:eastAsia="DejaVu Sans" w:hAnsi="DejaVu Sans"/>
      <w:b/>
      <w:bCs/>
      <w:color w:val="000000"/>
      <w:sz w:val="38"/>
      <w:szCs w:val="38"/>
    </w:rPr>
  </w:style>
  <w:style w:type="paragraph" w:styleId="Heading2">
    <w:name w:val="Heading 2"/>
    <w:basedOn w:val="Normal"/>
    <w:next w:val="Normal"/>
    <w:qFormat/>
    <w:pPr>
      <w:spacing w:after="130" w:before="260"/>
    </w:pPr>
    <w:rPr>
      <w:rFonts w:ascii="DejaVu Sans" w:cs="DejaVu Sans" w:eastAsia="DejaVu Sans" w:hAnsi="DejaVu Sans"/>
      <w:b/>
      <w:bCs/>
      <w:color w:val="000000"/>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 Cedar Creek Utility Improvements</dc:title>
  <dc:creator>FieldDraft</dc:creator>
  <cp:lastModifiedBy>Un-named</cp:lastModifiedBy>
  <cp:revision>1</cp:revision>
  <dcterms:created xsi:type="dcterms:W3CDTF">2026-10-12T16:04:09.986Z</dcterms:created>
  <dcterms:modified xsi:type="dcterms:W3CDTF">2026-10-12T16:04:09.986Z</dcterms:modified>
</cp:coreProperties>
</file>

<file path=docProps/custom.xml><?xml version="1.0" encoding="utf-8"?>
<Properties xmlns="http://schemas.openxmlformats.org/officeDocument/2006/custom-properties" xmlns:vt="http://schemas.openxmlformats.org/officeDocument/2006/docPropsVTypes"/>
</file>